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DDD2" w14:textId="77777777" w:rsidR="004F70D4" w:rsidRPr="007A602D" w:rsidRDefault="004F70D4" w:rsidP="002F0DC6">
      <w:pPr>
        <w:spacing w:before="120" w:after="120" w:line="240" w:lineRule="auto"/>
        <w:jc w:val="center"/>
        <w:rPr>
          <w:rFonts w:asciiTheme="majorHAnsi" w:hAnsiTheme="majorHAnsi" w:cstheme="majorHAnsi"/>
          <w:b/>
          <w:bCs/>
          <w:sz w:val="40"/>
          <w:szCs w:val="40"/>
        </w:rPr>
      </w:pPr>
      <w:r>
        <w:rPr>
          <w:rFonts w:asciiTheme="majorHAnsi" w:hAnsiTheme="majorHAnsi" w:cstheme="majorHAnsi"/>
          <w:b/>
          <w:bCs/>
          <w:sz w:val="40"/>
          <w:szCs w:val="40"/>
        </w:rPr>
        <w:t>NORTHERN IRELAND ASSEMBLY</w:t>
      </w:r>
      <w:r w:rsidRPr="007A602D">
        <w:rPr>
          <w:rFonts w:asciiTheme="majorHAnsi" w:hAnsiTheme="majorHAnsi" w:cstheme="majorHAnsi"/>
          <w:b/>
          <w:bCs/>
          <w:sz w:val="40"/>
          <w:szCs w:val="40"/>
        </w:rPr>
        <w:t xml:space="preserve"> ALL PARTY GROUP ON REDUCING HARM RELATED TO GAMBLING</w:t>
      </w:r>
    </w:p>
    <w:p w14:paraId="4DE58E8A" w14:textId="6B8CCAD1" w:rsidR="004F70D4" w:rsidRPr="007A602D" w:rsidRDefault="004F70D4" w:rsidP="002F0DC6">
      <w:pPr>
        <w:spacing w:before="120" w:after="120" w:line="240" w:lineRule="auto"/>
        <w:jc w:val="center"/>
        <w:rPr>
          <w:rFonts w:asciiTheme="majorHAnsi" w:hAnsiTheme="majorHAnsi" w:cstheme="majorBidi"/>
          <w:sz w:val="32"/>
          <w:szCs w:val="32"/>
        </w:rPr>
      </w:pPr>
      <w:r w:rsidRPr="4667B7E7">
        <w:rPr>
          <w:rFonts w:asciiTheme="majorHAnsi" w:hAnsiTheme="majorHAnsi" w:cstheme="majorBidi"/>
          <w:sz w:val="32"/>
          <w:szCs w:val="32"/>
        </w:rPr>
        <w:t>Response to</w:t>
      </w:r>
      <w:r>
        <w:rPr>
          <w:rFonts w:asciiTheme="majorHAnsi" w:hAnsiTheme="majorHAnsi" w:cstheme="majorBidi"/>
          <w:sz w:val="32"/>
          <w:szCs w:val="32"/>
        </w:rPr>
        <w:t xml:space="preserve"> </w:t>
      </w:r>
      <w:r w:rsidRPr="4667B7E7">
        <w:rPr>
          <w:rFonts w:asciiTheme="majorHAnsi" w:hAnsiTheme="majorHAnsi" w:cstheme="majorBidi"/>
          <w:sz w:val="32"/>
          <w:szCs w:val="32"/>
        </w:rPr>
        <w:t>Gambling Related Harm APPG inquiry on</w:t>
      </w:r>
      <w:r w:rsidRPr="004F70D4">
        <w:t xml:space="preserve"> </w:t>
      </w:r>
      <w:r w:rsidRPr="004F70D4">
        <w:rPr>
          <w:rFonts w:asciiTheme="majorHAnsi" w:hAnsiTheme="majorHAnsi" w:cstheme="majorBidi"/>
          <w:sz w:val="32"/>
          <w:szCs w:val="32"/>
        </w:rPr>
        <w:t>The Future of Gambling Regulation in the UK</w:t>
      </w:r>
    </w:p>
    <w:p w14:paraId="070C3928" w14:textId="06FFEDAE" w:rsidR="004F70D4" w:rsidRPr="007A602D" w:rsidRDefault="004F70D4" w:rsidP="002F0DC6">
      <w:pPr>
        <w:spacing w:before="240" w:line="360" w:lineRule="auto"/>
        <w:jc w:val="center"/>
        <w:rPr>
          <w:rFonts w:asciiTheme="majorHAnsi" w:hAnsiTheme="majorHAnsi" w:cstheme="majorHAnsi"/>
          <w:sz w:val="32"/>
          <w:szCs w:val="32"/>
        </w:rPr>
      </w:pPr>
      <w:r>
        <w:rPr>
          <w:rFonts w:asciiTheme="majorHAnsi" w:hAnsiTheme="majorHAnsi" w:cstheme="majorBidi"/>
        </w:rPr>
        <w:t xml:space="preserve">September </w:t>
      </w:r>
      <w:r w:rsidRPr="4667B7E7">
        <w:rPr>
          <w:rFonts w:asciiTheme="majorHAnsi" w:hAnsiTheme="majorHAnsi" w:cstheme="majorBidi"/>
        </w:rPr>
        <w:t>202</w:t>
      </w:r>
      <w:r>
        <w:rPr>
          <w:rFonts w:asciiTheme="majorHAnsi" w:hAnsiTheme="majorHAnsi" w:cstheme="majorBidi"/>
        </w:rPr>
        <w:t>5</w:t>
      </w:r>
      <w:r w:rsidRPr="007A602D">
        <w:rPr>
          <w:rFonts w:asciiTheme="majorHAnsi" w:hAnsiTheme="majorHAnsi" w:cstheme="majorHAnsi"/>
          <w:noProof/>
        </w:rPr>
        <w:drawing>
          <wp:inline distT="0" distB="0" distL="0" distR="0" wp14:anchorId="5571502A" wp14:editId="771D34B8">
            <wp:extent cx="6119495" cy="45084"/>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6119495" cy="45084"/>
                    </a:xfrm>
                    <a:prstGeom prst="rect">
                      <a:avLst/>
                    </a:prstGeom>
                    <a:ln/>
                  </pic:spPr>
                </pic:pic>
              </a:graphicData>
            </a:graphic>
          </wp:inline>
        </w:drawing>
      </w:r>
    </w:p>
    <w:p w14:paraId="73282CBF" w14:textId="77777777" w:rsidR="002F0DC6" w:rsidRDefault="004F70D4" w:rsidP="002F0DC6">
      <w:pPr>
        <w:spacing w:before="120" w:after="120" w:line="240" w:lineRule="auto"/>
        <w:rPr>
          <w:rFonts w:cstheme="majorBidi"/>
          <w:b/>
          <w:bCs/>
        </w:rPr>
      </w:pPr>
      <w:r w:rsidRPr="009E6772">
        <w:rPr>
          <w:rFonts w:cstheme="majorBidi"/>
          <w:b/>
          <w:bCs/>
        </w:rPr>
        <w:t>Introduction</w:t>
      </w:r>
    </w:p>
    <w:p w14:paraId="4D47C585" w14:textId="3B5699F7" w:rsidR="004F70D4" w:rsidRPr="002F0DC6" w:rsidRDefault="004F70D4" w:rsidP="002F0DC6">
      <w:pPr>
        <w:spacing w:before="120" w:after="120" w:line="240" w:lineRule="auto"/>
        <w:rPr>
          <w:rFonts w:cstheme="majorBidi"/>
          <w:b/>
          <w:bCs/>
        </w:rPr>
      </w:pPr>
      <w:r w:rsidRPr="009E6772">
        <w:t xml:space="preserve">The Northern Ireland Assembly All Party Group </w:t>
      </w:r>
      <w:r w:rsidR="002F0DC6">
        <w:t xml:space="preserve">(APG) </w:t>
      </w:r>
      <w:r w:rsidRPr="009E6772">
        <w:t>on Reducing Harm Related to Gambling welcomes the opportunity to su</w:t>
      </w:r>
      <w:r w:rsidR="00A13794">
        <w:t>b</w:t>
      </w:r>
      <w:r w:rsidRPr="009E6772">
        <w:t xml:space="preserve">mit this response to the APPG’s inquiry on </w:t>
      </w:r>
      <w:r w:rsidR="00D2410B" w:rsidRPr="009E6772">
        <w:t xml:space="preserve">The Future of Gambling Regulation in the UK. </w:t>
      </w:r>
    </w:p>
    <w:p w14:paraId="31375A9B" w14:textId="77777777" w:rsidR="00985F0D" w:rsidRDefault="009E6772" w:rsidP="002F0DC6">
      <w:pPr>
        <w:spacing w:before="120" w:after="120" w:line="240" w:lineRule="auto"/>
        <w:rPr>
          <w:rFonts w:cstheme="majorBidi"/>
        </w:rPr>
      </w:pPr>
      <w:r w:rsidRPr="009E6772">
        <w:rPr>
          <w:rFonts w:cstheme="majorBidi"/>
          <w:lang w:val="en"/>
        </w:rPr>
        <w:t>Gambling is a devolved matter in Northern Ireland</w:t>
      </w:r>
      <w:r w:rsidR="00985F0D">
        <w:rPr>
          <w:rFonts w:cstheme="majorBidi"/>
        </w:rPr>
        <w:t xml:space="preserve"> and is </w:t>
      </w:r>
      <w:r w:rsidR="00985F0D" w:rsidRPr="00985F0D">
        <w:rPr>
          <w:rFonts w:cstheme="majorBidi"/>
        </w:rPr>
        <w:t xml:space="preserve">regulated under </w:t>
      </w:r>
      <w:hyperlink r:id="rId9" w:history="1">
        <w:r w:rsidR="00985F0D" w:rsidRPr="00985F0D">
          <w:rPr>
            <w:rStyle w:val="Hyperlink"/>
            <w:rFonts w:cstheme="majorBidi"/>
          </w:rPr>
          <w:t>The Betting, Gaming, Lotteries and Amusements (Northern Ireland) Order 1985</w:t>
        </w:r>
      </w:hyperlink>
      <w:r w:rsidR="00985F0D" w:rsidRPr="00985F0D">
        <w:rPr>
          <w:rFonts w:cstheme="majorBidi"/>
        </w:rPr>
        <w:t>, which predates the advent of the internet. As such, online or remote gambling is unregulated here, and we are the only part of these islands that does not have an independent gambling regulator.  </w:t>
      </w:r>
    </w:p>
    <w:p w14:paraId="0EBE1F36" w14:textId="4A6BC953" w:rsidR="00985F0D" w:rsidRPr="00985F0D" w:rsidRDefault="00985F0D" w:rsidP="002F0DC6">
      <w:pPr>
        <w:spacing w:line="240" w:lineRule="auto"/>
        <w:rPr>
          <w:rFonts w:cstheme="majorBidi"/>
        </w:rPr>
      </w:pPr>
      <w:r w:rsidRPr="00985F0D">
        <w:rPr>
          <w:rFonts w:cstheme="majorBidi"/>
        </w:rPr>
        <w:t xml:space="preserve">Unfortunately, due to a truncated Assembly mandate, </w:t>
      </w:r>
      <w:r>
        <w:rPr>
          <w:rFonts w:cstheme="majorBidi"/>
        </w:rPr>
        <w:t xml:space="preserve">our </w:t>
      </w:r>
      <w:r w:rsidRPr="00985F0D">
        <w:rPr>
          <w:rFonts w:cstheme="majorBidi"/>
        </w:rPr>
        <w:t>Executive does not have sufficient legislative time, ahead of the Assembly election in 2027, to take forward a comprehensive Gambling Bill to provide for a fit for purpose regulatory framework for Northern Ireland . This leaves our populatio</w:t>
      </w:r>
      <w:r>
        <w:rPr>
          <w:rFonts w:cstheme="majorBidi"/>
        </w:rPr>
        <w:t>n</w:t>
      </w:r>
      <w:r w:rsidRPr="00985F0D">
        <w:rPr>
          <w:rFonts w:cstheme="majorBidi"/>
        </w:rPr>
        <w:t xml:space="preserve"> highly vulnerable</w:t>
      </w:r>
      <w:r>
        <w:rPr>
          <w:rFonts w:cstheme="majorBidi"/>
        </w:rPr>
        <w:t xml:space="preserve">, particularly given it </w:t>
      </w:r>
      <w:r w:rsidRPr="00985F0D">
        <w:rPr>
          <w:rFonts w:cstheme="majorBidi"/>
        </w:rPr>
        <w:t>already experience</w:t>
      </w:r>
      <w:r>
        <w:rPr>
          <w:rFonts w:cstheme="majorBidi"/>
        </w:rPr>
        <w:t>s</w:t>
      </w:r>
      <w:r w:rsidRPr="00985F0D">
        <w:rPr>
          <w:rFonts w:cstheme="majorBidi"/>
        </w:rPr>
        <w:t xml:space="preserve"> the highest levels of problem gambling in the UK at 3%</w:t>
      </w:r>
      <w:r>
        <w:rPr>
          <w:rFonts w:cstheme="majorBidi"/>
        </w:rPr>
        <w:t>.</w:t>
      </w:r>
      <w:r>
        <w:rPr>
          <w:rStyle w:val="EndnoteReference"/>
          <w:rFonts w:cstheme="majorBidi"/>
        </w:rPr>
        <w:endnoteReference w:id="1"/>
      </w:r>
    </w:p>
    <w:p w14:paraId="73FF6798" w14:textId="1E9E2F2D" w:rsidR="004F70D4" w:rsidRDefault="00153E43" w:rsidP="002F0DC6">
      <w:pPr>
        <w:spacing w:before="240" w:after="120" w:line="240" w:lineRule="auto"/>
        <w:rPr>
          <w:b/>
          <w:bCs/>
        </w:rPr>
      </w:pPr>
      <w:r w:rsidRPr="00153E43">
        <w:rPr>
          <w:b/>
          <w:bCs/>
        </w:rPr>
        <w:t xml:space="preserve">What further steps should be taken on the issue of gambling advertising, sponsorship and marketing? </w:t>
      </w:r>
    </w:p>
    <w:p w14:paraId="70A780E0" w14:textId="77777777" w:rsidR="001A4087" w:rsidRDefault="00985F0D" w:rsidP="002F0DC6">
      <w:pPr>
        <w:spacing w:line="240" w:lineRule="auto"/>
      </w:pPr>
      <w:r>
        <w:t>W</w:t>
      </w:r>
      <w:r w:rsidRPr="00985F0D">
        <w:t xml:space="preserve">hile gambling policy is devolved to Northern Ireland, broadcast and </w:t>
      </w:r>
      <w:r>
        <w:t>remote</w:t>
      </w:r>
      <w:r w:rsidRPr="00985F0D">
        <w:t xml:space="preserve"> gambling advertising is reserved to Westminster. This means that remote gambling operators licenced by the Gambling Commission in GB can freely advertise in Northern Ireland and profit off and cause harm to people here, even though remote gambling in the region has not yet been legalised.  </w:t>
      </w:r>
    </w:p>
    <w:p w14:paraId="5A12A446" w14:textId="72058EF7" w:rsidR="008036F9" w:rsidRDefault="00985F0D" w:rsidP="002F0DC6">
      <w:pPr>
        <w:spacing w:line="240" w:lineRule="auto"/>
      </w:pPr>
      <w:r w:rsidRPr="00985F0D">
        <w:t xml:space="preserve">So, to help mitigate the lack of regulatory protections in Northern Ireland, </w:t>
      </w:r>
      <w:r w:rsidR="002B1F80">
        <w:t xml:space="preserve">the </w:t>
      </w:r>
      <w:r w:rsidRPr="00985F0D">
        <w:t xml:space="preserve">APG </w:t>
      </w:r>
      <w:r w:rsidR="002B1F80">
        <w:t xml:space="preserve">recommends that the UK Government </w:t>
      </w:r>
      <w:r w:rsidRPr="00985F0D">
        <w:t>use</w:t>
      </w:r>
      <w:r w:rsidR="002B1F80">
        <w:t>s</w:t>
      </w:r>
      <w:r w:rsidRPr="00985F0D">
        <w:t xml:space="preserve"> </w:t>
      </w:r>
      <w:r w:rsidR="002B1F80">
        <w:t>its</w:t>
      </w:r>
      <w:r w:rsidRPr="00985F0D">
        <w:t xml:space="preserve"> existing powers, under the 2005 Gambling Act, to</w:t>
      </w:r>
      <w:r w:rsidR="002B1F80">
        <w:t xml:space="preserve"> take </w:t>
      </w:r>
      <w:r w:rsidR="002B1F80" w:rsidRPr="002B1F80">
        <w:t xml:space="preserve"> immediate action on gambling advertising</w:t>
      </w:r>
      <w:r w:rsidR="001A4087">
        <w:t>, sponsorship</w:t>
      </w:r>
      <w:r w:rsidR="002B1F80" w:rsidRPr="002B1F80">
        <w:t xml:space="preserve"> and </w:t>
      </w:r>
      <w:r w:rsidR="001A4087">
        <w:t xml:space="preserve">marketing </w:t>
      </w:r>
      <w:r w:rsidR="002B1F80">
        <w:t>to redu</w:t>
      </w:r>
      <w:r w:rsidR="001A4087">
        <w:t>ce</w:t>
      </w:r>
      <w:r w:rsidR="002B1F80">
        <w:t xml:space="preserve"> </w:t>
      </w:r>
      <w:r w:rsidR="001A4087">
        <w:t xml:space="preserve">the </w:t>
      </w:r>
      <w:r w:rsidR="00161D42">
        <w:t>associated</w:t>
      </w:r>
      <w:r w:rsidR="002B1F80">
        <w:t xml:space="preserve"> har</w:t>
      </w:r>
      <w:r w:rsidR="00161D42">
        <w:t xml:space="preserve">ms. </w:t>
      </w:r>
      <w:r w:rsidR="008036F9">
        <w:t>This should involve the Government taking similar steps to those recently taken by</w:t>
      </w:r>
      <w:r w:rsidR="001A4087">
        <w:t xml:space="preserve"> Ireland,</w:t>
      </w:r>
      <w:r w:rsidR="008036F9">
        <w:t xml:space="preserve"> </w:t>
      </w:r>
      <w:r w:rsidR="00161D42">
        <w:t>the UK’s closest neighbour, both geographically and culturally</w:t>
      </w:r>
      <w:r w:rsidR="008036F9">
        <w:t xml:space="preserve">.  </w:t>
      </w:r>
    </w:p>
    <w:p w14:paraId="2851DB24" w14:textId="37C90F92" w:rsidR="00161D42" w:rsidRDefault="008036F9" w:rsidP="002F0DC6">
      <w:pPr>
        <w:spacing w:line="240" w:lineRule="auto"/>
      </w:pPr>
      <w:r>
        <w:t>L</w:t>
      </w:r>
      <w:r w:rsidR="00161D42">
        <w:t>ast year</w:t>
      </w:r>
      <w:r>
        <w:t xml:space="preserve"> the Irish Government </w:t>
      </w:r>
      <w:r w:rsidR="00161D42">
        <w:t xml:space="preserve"> introduced landmark legislation, </w:t>
      </w:r>
      <w:r w:rsidR="00161D42" w:rsidRPr="00161D42">
        <w:t>the Gambling Regulation Act 2024</w:t>
      </w:r>
      <w:r w:rsidR="00161D42">
        <w:rPr>
          <w:rStyle w:val="EndnoteReference"/>
        </w:rPr>
        <w:endnoteReference w:id="2"/>
      </w:r>
      <w:r>
        <w:t xml:space="preserve">. This </w:t>
      </w:r>
      <w:r w:rsidR="00161D42" w:rsidRPr="00161D42">
        <w:t xml:space="preserve">introduces </w:t>
      </w:r>
      <w:r>
        <w:t xml:space="preserve">significantly </w:t>
      </w:r>
      <w:r w:rsidR="00161D42" w:rsidRPr="00161D42">
        <w:t xml:space="preserve">tight restrictions on gambling </w:t>
      </w:r>
      <w:r w:rsidR="00161D42" w:rsidRPr="00161D42">
        <w:lastRenderedPageBreak/>
        <w:t>marketing</w:t>
      </w:r>
      <w:r>
        <w:t xml:space="preserve"> compared to Great Britain</w:t>
      </w:r>
      <w:r w:rsidR="00161D42" w:rsidRPr="00161D42">
        <w:t xml:space="preserve">. It gives the newly established Gambling Regulatory Authority of Ireland the power to prescribe the times, places, and events where gambling advertising can be broadcast, displayed, or published. It allows the regulator to specify the frequency, duration, and number of advertisements that can be shown. The Act </w:t>
      </w:r>
      <w:r>
        <w:t xml:space="preserve">provides for </w:t>
      </w:r>
      <w:r w:rsidR="00161D42" w:rsidRPr="00161D42">
        <w:t xml:space="preserve">a watershed on gambling advertising for television and radio between 5:30 a.m. and 9:00 p.m. It prohibits advertising gambling content on a social media or a video-sharing platform unless the recipient is following a social media account of a gambling company. </w:t>
      </w:r>
    </w:p>
    <w:p w14:paraId="1D7DF6B0" w14:textId="5B64C840" w:rsidR="008036F9" w:rsidRDefault="008036F9" w:rsidP="002F0DC6">
      <w:pPr>
        <w:spacing w:line="240" w:lineRule="auto"/>
      </w:pPr>
      <w:r w:rsidRPr="008036F9">
        <w:t>The Irish legislation also prohibits advertising that is likely to portray gambling as attractive to children and includes a ban on the sale of branded clothing or merchandise intended to be worn by children, or at events which may be attended by children. This is an important step given that a recent cross-border report</w:t>
      </w:r>
      <w:r>
        <w:rPr>
          <w:rStyle w:val="EndnoteReference"/>
        </w:rPr>
        <w:endnoteReference w:id="3"/>
      </w:r>
      <w:r w:rsidRPr="008036F9">
        <w:t xml:space="preserve"> by Maynooth University and Ulster University showed that young people across the island of Ireland are exposed to “extremely high levels of gambling marketing” through televised sports programmes and social media content, much of which emanates from Great Britain.</w:t>
      </w:r>
    </w:p>
    <w:p w14:paraId="77833AD3" w14:textId="1A0A94D1" w:rsidR="008036F9" w:rsidRDefault="008036F9" w:rsidP="002F0DC6">
      <w:pPr>
        <w:spacing w:line="240" w:lineRule="auto"/>
      </w:pPr>
      <w:r>
        <w:t>The Government</w:t>
      </w:r>
      <w:r w:rsidRPr="008036F9">
        <w:t xml:space="preserve"> can do something about this under existing legislation.  </w:t>
      </w:r>
      <w:r>
        <w:t xml:space="preserve">It </w:t>
      </w:r>
      <w:r w:rsidRPr="008036F9">
        <w:t xml:space="preserve">can use </w:t>
      </w:r>
      <w:r>
        <w:t>its</w:t>
      </w:r>
      <w:r w:rsidRPr="008036F9">
        <w:t xml:space="preserve"> powers to prevent our children </w:t>
      </w:r>
      <w:r w:rsidR="001A4087">
        <w:t xml:space="preserve">and young people </w:t>
      </w:r>
      <w:r>
        <w:t xml:space="preserve">across these islands </w:t>
      </w:r>
      <w:r w:rsidRPr="008036F9">
        <w:t xml:space="preserve">from being bombarded with gambling related marketing during major sports broadcasts, such as Premier League matches, and prevent those already experiencing gambling harms from being targeted by gambling companies on social media. Introducing restrictions like those in Ireland would have a profound benefit for Great Britain, Northern Ireland, and Ireland, where British TV is widely watched. </w:t>
      </w:r>
    </w:p>
    <w:p w14:paraId="56536AF1" w14:textId="2EEBB658" w:rsidR="008036F9" w:rsidRPr="008036F9" w:rsidRDefault="008036F9" w:rsidP="002F0DC6">
      <w:pPr>
        <w:spacing w:line="240" w:lineRule="auto"/>
      </w:pPr>
      <w:r w:rsidRPr="008036F9">
        <w:t>Restricting gambling advertising is popular among the public in Britain</w:t>
      </w:r>
      <w:r w:rsidR="00416F4C">
        <w:t>, according to a Survation poll.</w:t>
      </w:r>
      <w:r>
        <w:rPr>
          <w:rStyle w:val="EndnoteReference"/>
        </w:rPr>
        <w:endnoteReference w:id="4"/>
      </w:r>
      <w:r w:rsidRPr="008036F9">
        <w:t xml:space="preserve"> Over half of respondents were in favour of a total ban and </w:t>
      </w:r>
      <w:r w:rsidR="00BD400B">
        <w:t>7</w:t>
      </w:r>
      <w:r w:rsidRPr="008036F9">
        <w:t>8% believed that no under-18s should be exposed to gambling advertising.  And there is a clear appetite too among Northern Ireland residents for more to be done to tackle the scourge of gambling advertising with the 2024 Northern Ireland prevalence survey (mentioned above) finding that 66% of respondents believe there are too many gambling advertisements, and 71% supporting a watershed for gambling ads on TV and radio.</w:t>
      </w:r>
    </w:p>
    <w:p w14:paraId="33979FC5" w14:textId="6D69DFF6" w:rsidR="008036F9" w:rsidRPr="008036F9" w:rsidRDefault="008036F9" w:rsidP="002F0DC6">
      <w:pPr>
        <w:spacing w:line="240" w:lineRule="auto"/>
      </w:pPr>
      <w:r w:rsidRPr="008036F9">
        <w:t xml:space="preserve">The APG is therefore urging the Government to take positive steps towards restricting the promotion of gambling and act on the </w:t>
      </w:r>
      <w:r w:rsidR="001A4087">
        <w:t xml:space="preserve">British </w:t>
      </w:r>
      <w:r w:rsidRPr="008036F9">
        <w:t>Labour Party’s manifesto commitment to reduce gambling-related harm.  </w:t>
      </w:r>
    </w:p>
    <w:p w14:paraId="4D3D0556" w14:textId="245BC377" w:rsidR="00153E43" w:rsidRPr="008C74E0" w:rsidRDefault="00153E43" w:rsidP="002F0DC6">
      <w:pPr>
        <w:spacing w:before="240" w:after="120" w:line="240" w:lineRule="auto"/>
        <w:rPr>
          <w:b/>
          <w:bCs/>
        </w:rPr>
      </w:pPr>
      <w:r w:rsidRPr="008C74E0">
        <w:rPr>
          <w:b/>
          <w:bCs/>
        </w:rPr>
        <w:t>The efficacy of current regulatory efforts by the Gambling Commission and other relevant bodies.</w:t>
      </w:r>
      <w:r w:rsidR="009520F9" w:rsidRPr="008C74E0">
        <w:rPr>
          <w:b/>
          <w:bCs/>
        </w:rPr>
        <w:t xml:space="preserve"> </w:t>
      </w:r>
    </w:p>
    <w:p w14:paraId="76DAEE60" w14:textId="22AC5E8D" w:rsidR="006C4873" w:rsidRDefault="001C069F" w:rsidP="002F0DC6">
      <w:pPr>
        <w:spacing w:line="240" w:lineRule="auto"/>
      </w:pPr>
      <w:r>
        <w:t>In correspondence with the APG</w:t>
      </w:r>
      <w:r w:rsidR="00972945">
        <w:t>’s Chair Philip McGuigan MLA</w:t>
      </w:r>
      <w:r>
        <w:t>, the Gambling Minister</w:t>
      </w:r>
      <w:r w:rsidR="00972945">
        <w:t xml:space="preserve"> Baroness Twycross</w:t>
      </w:r>
      <w:r>
        <w:t xml:space="preserve"> stated that the Advertising Standards Authority</w:t>
      </w:r>
      <w:r w:rsidR="00972945">
        <w:t xml:space="preserve"> (ASA</w:t>
      </w:r>
      <w:r>
        <w:t xml:space="preserve">) </w:t>
      </w:r>
      <w:r w:rsidR="001A0EF1">
        <w:t>“</w:t>
      </w:r>
      <w:r w:rsidR="001A0EF1" w:rsidRPr="001A0EF1">
        <w:t xml:space="preserve">has the power to take action where there is evidence of advertising in breach of </w:t>
      </w:r>
      <w:r w:rsidR="001A0EF1">
        <w:t>[the ASA’s]</w:t>
      </w:r>
      <w:r w:rsidR="001A0EF1" w:rsidRPr="001A0EF1">
        <w:t xml:space="preserve"> codes of practice</w:t>
      </w:r>
      <w:r w:rsidR="001A0EF1">
        <w:t xml:space="preserve">”. </w:t>
      </w:r>
      <w:r w:rsidR="001A0EF1" w:rsidRPr="001A0EF1">
        <w:t xml:space="preserve">ASA is, however, a non-statutory self-regulatory body for the advertising industry. While it can require an ad to be withdrawn, ASA does not have the power to impose punitive fines on gambling operators deemed to be responsible for multiple </w:t>
      </w:r>
      <w:r w:rsidR="001A0EF1" w:rsidRPr="001A0EF1">
        <w:lastRenderedPageBreak/>
        <w:t>breaches of its codes.</w:t>
      </w:r>
      <w:r w:rsidR="001A0EF1">
        <w:t xml:space="preserve"> </w:t>
      </w:r>
      <w:r w:rsidR="00972945">
        <w:t xml:space="preserve">As such, it </w:t>
      </w:r>
      <w:r w:rsidR="001A0EF1">
        <w:t xml:space="preserve">can refer operators to the Gambling Commission for possible regulatory action. However, this cannot happen if the breach occurs or is reported in NI, because the Gambling Commission has no jurisdiction </w:t>
      </w:r>
      <w:r w:rsidR="00972945">
        <w:t>there</w:t>
      </w:r>
      <w:r w:rsidR="001A0EF1">
        <w:t xml:space="preserve">. </w:t>
      </w:r>
    </w:p>
    <w:p w14:paraId="269C2B8A" w14:textId="687318D1" w:rsidR="001A0EF1" w:rsidRDefault="001A0EF1" w:rsidP="002F0DC6">
      <w:pPr>
        <w:spacing w:line="240" w:lineRule="auto"/>
      </w:pPr>
      <w:r>
        <w:t xml:space="preserve">The ASA has </w:t>
      </w:r>
      <w:r w:rsidR="00972945">
        <w:t>advised</w:t>
      </w:r>
      <w:r>
        <w:t xml:space="preserve"> the APG </w:t>
      </w:r>
      <w:r w:rsidR="001A4087">
        <w:t xml:space="preserve">that </w:t>
      </w:r>
      <w:r>
        <w:t xml:space="preserve">if </w:t>
      </w:r>
      <w:r w:rsidRPr="001A0EF1">
        <w:t>it suspects that an “ad is in breach of the law in NI, [it] will refer the complainant to [its] contact at the Police Service of Northern Ireland (PSNI)”. However,</w:t>
      </w:r>
      <w:r>
        <w:t xml:space="preserve"> the PSNI have said: </w:t>
      </w:r>
      <w:r w:rsidRPr="001A0EF1">
        <w:t>“The PSNI have no responsibility for advertising offences in Northern Ireland. This clearly falls under the remit of the ASA.”</w:t>
      </w:r>
      <w:r>
        <w:t xml:space="preserve"> </w:t>
      </w:r>
    </w:p>
    <w:p w14:paraId="293C9FD7" w14:textId="40C20ACC" w:rsidR="001A0EF1" w:rsidRDefault="001A0EF1" w:rsidP="001A4087">
      <w:pPr>
        <w:spacing w:line="240" w:lineRule="auto"/>
      </w:pPr>
      <w:r>
        <w:t xml:space="preserve">The </w:t>
      </w:r>
      <w:r w:rsidR="00972945">
        <w:t xml:space="preserve">APG calls on the UK Government to work with the NI Executive to resolve this </w:t>
      </w:r>
      <w:r>
        <w:t xml:space="preserve">inconsistency around </w:t>
      </w:r>
      <w:r w:rsidR="001A4087">
        <w:t xml:space="preserve">the </w:t>
      </w:r>
      <w:r>
        <w:t xml:space="preserve">regulation of </w:t>
      </w:r>
      <w:r w:rsidR="00972945">
        <w:t>remote</w:t>
      </w:r>
      <w:r>
        <w:t xml:space="preserve"> advertising in NI</w:t>
      </w:r>
      <w:r w:rsidR="001A4087">
        <w:t xml:space="preserve"> and </w:t>
      </w:r>
      <w:r w:rsidR="00EA56AB">
        <w:t xml:space="preserve">allow the </w:t>
      </w:r>
      <w:r w:rsidR="002D58F0">
        <w:t xml:space="preserve">Gambling Commission </w:t>
      </w:r>
      <w:r w:rsidR="00EA56AB">
        <w:t xml:space="preserve">to provide redress to those in Northern Ireland who are subject to marketing from </w:t>
      </w:r>
      <w:r w:rsidR="0037551F">
        <w:t xml:space="preserve">a </w:t>
      </w:r>
      <w:r w:rsidR="00EA56AB">
        <w:t xml:space="preserve">remote gambling operator </w:t>
      </w:r>
      <w:r w:rsidR="0037551F">
        <w:t xml:space="preserve">that </w:t>
      </w:r>
      <w:r w:rsidR="001A4087">
        <w:t xml:space="preserve">is in breach of </w:t>
      </w:r>
      <w:r w:rsidR="0037551F">
        <w:t>licence</w:t>
      </w:r>
      <w:r w:rsidR="001A4087">
        <w:t xml:space="preserve"> conditions</w:t>
      </w:r>
      <w:r w:rsidR="0037551F">
        <w:t>.</w:t>
      </w:r>
    </w:p>
    <w:p w14:paraId="1A5EDC23" w14:textId="0F17CD1C" w:rsidR="004F70D4" w:rsidRDefault="006C4873" w:rsidP="002F0DC6">
      <w:pPr>
        <w:spacing w:before="240" w:after="120" w:line="240" w:lineRule="auto"/>
        <w:rPr>
          <w:b/>
          <w:bCs/>
        </w:rPr>
      </w:pPr>
      <w:r w:rsidRPr="006C4873">
        <w:rPr>
          <w:b/>
          <w:bCs/>
        </w:rPr>
        <w:t>Optimal strategies for the implementation of the statutory levy on gambling operators and ensuring its long-term success</w:t>
      </w:r>
    </w:p>
    <w:p w14:paraId="51F3340C" w14:textId="6B41F4E5" w:rsidR="00B134C2" w:rsidRPr="002F0DC6" w:rsidRDefault="00B134C2" w:rsidP="002F0DC6">
      <w:pPr>
        <w:spacing w:before="120" w:after="120" w:line="240" w:lineRule="auto"/>
        <w:rPr>
          <w:rFonts w:cs="Arial"/>
        </w:rPr>
      </w:pPr>
      <w:r w:rsidRPr="002F0DC6">
        <w:rPr>
          <w:rFonts w:cs="Arial"/>
        </w:rPr>
        <w:t>The statutory levy is intended to represent “a generational shift in the funding system for research, prevention and treatment,” replacing the current system of voluntary industry contributions.</w:t>
      </w:r>
      <w:r w:rsidRPr="002F0DC6">
        <w:rPr>
          <w:rStyle w:val="EndnoteReference"/>
          <w:rFonts w:cs="Arial"/>
        </w:rPr>
        <w:endnoteReference w:id="5"/>
      </w:r>
      <w:r w:rsidRPr="002F0DC6">
        <w:rPr>
          <w:rFonts w:cs="Arial"/>
        </w:rPr>
        <w:t xml:space="preserve"> It is striking that since its inception in 2005, the UK gambling industry - most notably members of the Betting and Gaming Council (BG</w:t>
      </w:r>
      <w:r w:rsidR="00E4604D">
        <w:rPr>
          <w:rFonts w:cs="Arial"/>
        </w:rPr>
        <w:t>C</w:t>
      </w:r>
      <w:r w:rsidRPr="002F0DC6">
        <w:rPr>
          <w:rFonts w:cs="Arial"/>
        </w:rPr>
        <w:t xml:space="preserve">) - have had minimal participation in the voluntary funding scheme as it relates to Northern Ireland. </w:t>
      </w:r>
    </w:p>
    <w:p w14:paraId="7F9B8BBE" w14:textId="3FF45CD8" w:rsidR="002F0DC6" w:rsidRPr="002F0DC6" w:rsidRDefault="00B134C2" w:rsidP="001A4087">
      <w:pPr>
        <w:spacing w:before="240" w:line="240" w:lineRule="auto"/>
        <w:rPr>
          <w:rFonts w:cs="Arial"/>
        </w:rPr>
      </w:pPr>
      <w:r w:rsidRPr="002F0DC6">
        <w:rPr>
          <w:rFonts w:cs="Arial"/>
        </w:rPr>
        <w:t>One would hope that this situation would be improved with the introduction of a statutory levy on gambling operators in April 2025. However, while the APG understand</w:t>
      </w:r>
      <w:r w:rsidR="002F0DC6" w:rsidRPr="002F0DC6">
        <w:rPr>
          <w:rFonts w:cs="Arial"/>
        </w:rPr>
        <w:t>s</w:t>
      </w:r>
      <w:r w:rsidRPr="002F0DC6">
        <w:rPr>
          <w:rFonts w:cs="Arial"/>
        </w:rPr>
        <w:t xml:space="preserve"> </w:t>
      </w:r>
      <w:r w:rsidR="001A4087">
        <w:rPr>
          <w:rFonts w:cs="Arial"/>
        </w:rPr>
        <w:t xml:space="preserve">that </w:t>
      </w:r>
      <w:r w:rsidR="002F0DC6" w:rsidRPr="002F0DC6">
        <w:rPr>
          <w:rFonts w:cs="Arial"/>
        </w:rPr>
        <w:t>NI based organisations can apply to UKRI</w:t>
      </w:r>
      <w:r w:rsidRPr="002F0DC6">
        <w:rPr>
          <w:rFonts w:cs="Arial"/>
        </w:rPr>
        <w:t xml:space="preserve"> </w:t>
      </w:r>
      <w:r w:rsidR="002F0DC6" w:rsidRPr="002F0DC6">
        <w:rPr>
          <w:rFonts w:cs="Arial"/>
        </w:rPr>
        <w:t>for</w:t>
      </w:r>
      <w:r w:rsidRPr="002F0DC6">
        <w:rPr>
          <w:rFonts w:cs="Arial"/>
        </w:rPr>
        <w:t xml:space="preserve"> </w:t>
      </w:r>
      <w:r w:rsidR="002F0DC6" w:rsidRPr="002F0DC6">
        <w:rPr>
          <w:rFonts w:cs="Arial"/>
        </w:rPr>
        <w:t xml:space="preserve">gambling harms research funding, the </w:t>
      </w:r>
      <w:r w:rsidRPr="002F0DC6">
        <w:rPr>
          <w:rFonts w:cs="Arial"/>
        </w:rPr>
        <w:t>proceeds from this levy for the treatment and prevention of gambling harms are not available to Northern Ireland.</w:t>
      </w:r>
      <w:bookmarkStart w:id="0" w:name="_Ref150786654"/>
      <w:r w:rsidRPr="002F0DC6">
        <w:rPr>
          <w:rStyle w:val="EndnoteReference"/>
          <w:rFonts w:cs="Arial"/>
        </w:rPr>
        <w:endnoteReference w:id="6"/>
      </w:r>
      <w:bookmarkEnd w:id="0"/>
      <w:r w:rsidRPr="002F0DC6">
        <w:rPr>
          <w:rFonts w:cs="Arial"/>
        </w:rPr>
        <w:t xml:space="preserve"> We question this decision to exclude Northern Ireland, </w:t>
      </w:r>
      <w:r w:rsidR="002F0DC6" w:rsidRPr="002F0DC6">
        <w:rPr>
          <w:rFonts w:cs="Arial"/>
        </w:rPr>
        <w:t xml:space="preserve">because although </w:t>
      </w:r>
      <w:r w:rsidRPr="002F0DC6">
        <w:rPr>
          <w:rFonts w:cs="Arial"/>
        </w:rPr>
        <w:t xml:space="preserve">gambling is a devolved matter, </w:t>
      </w:r>
      <w:r w:rsidR="002F0DC6" w:rsidRPr="002F0DC6">
        <w:rPr>
          <w:rFonts w:cs="Arial"/>
        </w:rPr>
        <w:t>t</w:t>
      </w:r>
      <w:r w:rsidRPr="002F0DC6">
        <w:rPr>
          <w:rFonts w:cs="Arial"/>
        </w:rPr>
        <w:t>he Gambling (Licensing and Advertising) Act 2014 mak</w:t>
      </w:r>
      <w:r w:rsidR="002F0DC6" w:rsidRPr="002F0DC6">
        <w:rPr>
          <w:rFonts w:cs="Arial"/>
        </w:rPr>
        <w:t>es</w:t>
      </w:r>
      <w:r w:rsidRPr="002F0DC6">
        <w:rPr>
          <w:rFonts w:cs="Arial"/>
        </w:rPr>
        <w:t xml:space="preserve"> it an offen</w:t>
      </w:r>
      <w:r w:rsidR="001A4087">
        <w:rPr>
          <w:rFonts w:cs="Arial"/>
        </w:rPr>
        <w:t>c</w:t>
      </w:r>
      <w:r w:rsidRPr="002F0DC6">
        <w:rPr>
          <w:rFonts w:cs="Arial"/>
        </w:rPr>
        <w:t xml:space="preserve">e </w:t>
      </w:r>
      <w:r w:rsidR="001A4087">
        <w:rPr>
          <w:rFonts w:cs="Arial"/>
        </w:rPr>
        <w:t xml:space="preserve">for remote gambling operators </w:t>
      </w:r>
      <w:r w:rsidRPr="002F0DC6">
        <w:rPr>
          <w:rFonts w:cs="Arial"/>
        </w:rPr>
        <w:t xml:space="preserve">to advertise in Northern Ireland without a </w:t>
      </w:r>
      <w:r w:rsidR="001A4087">
        <w:rPr>
          <w:rFonts w:cs="Arial"/>
        </w:rPr>
        <w:t xml:space="preserve">Gambling Commission </w:t>
      </w:r>
      <w:r w:rsidRPr="002F0DC6">
        <w:rPr>
          <w:rFonts w:cs="Arial"/>
        </w:rPr>
        <w:t>licence.</w:t>
      </w:r>
      <w:r w:rsidRPr="002F0DC6">
        <w:rPr>
          <w:rStyle w:val="EndnoteReference"/>
          <w:rFonts w:cs="Arial"/>
        </w:rPr>
        <w:endnoteReference w:id="7"/>
      </w:r>
      <w:r w:rsidRPr="002F0DC6">
        <w:rPr>
          <w:rFonts w:cs="Arial"/>
        </w:rPr>
        <w:t xml:space="preserve"> </w:t>
      </w:r>
    </w:p>
    <w:p w14:paraId="152459A3" w14:textId="77777777" w:rsidR="001A4087" w:rsidRDefault="00B134C2" w:rsidP="002F0DC6">
      <w:pPr>
        <w:spacing w:before="240" w:line="240" w:lineRule="auto"/>
        <w:rPr>
          <w:rFonts w:cs="Arial"/>
        </w:rPr>
      </w:pPr>
      <w:r w:rsidRPr="002F0DC6">
        <w:rPr>
          <w:rFonts w:cs="Arial"/>
        </w:rPr>
        <w:t xml:space="preserve">It is </w:t>
      </w:r>
      <w:r w:rsidR="002F0DC6" w:rsidRPr="002F0DC6">
        <w:rPr>
          <w:rFonts w:cs="Arial"/>
        </w:rPr>
        <w:t xml:space="preserve">therefore </w:t>
      </w:r>
      <w:r w:rsidRPr="002F0DC6">
        <w:rPr>
          <w:rFonts w:cs="Arial"/>
        </w:rPr>
        <w:t xml:space="preserve">logical to assume that if the </w:t>
      </w:r>
      <w:r w:rsidR="001A4087">
        <w:rPr>
          <w:rFonts w:cs="Arial"/>
        </w:rPr>
        <w:t xml:space="preserve">Gambling </w:t>
      </w:r>
      <w:r w:rsidRPr="002F0DC6">
        <w:rPr>
          <w:rFonts w:cs="Arial"/>
        </w:rPr>
        <w:t xml:space="preserve">Commission is licensing activities in Northern Ireland, then part of the funds which it collects from the operators should also be directed </w:t>
      </w:r>
      <w:r w:rsidR="001A4087">
        <w:rPr>
          <w:rFonts w:cs="Arial"/>
        </w:rPr>
        <w:t>there</w:t>
      </w:r>
      <w:r w:rsidRPr="002F0DC6">
        <w:rPr>
          <w:rFonts w:cs="Arial"/>
        </w:rPr>
        <w:t xml:space="preserve">. </w:t>
      </w:r>
    </w:p>
    <w:p w14:paraId="0E5A8A78" w14:textId="70C6E989" w:rsidR="002F0DC6" w:rsidRDefault="00B134C2" w:rsidP="001A4087">
      <w:pPr>
        <w:spacing w:before="240" w:line="240" w:lineRule="auto"/>
        <w:rPr>
          <w:rFonts w:cs="Arial"/>
        </w:rPr>
      </w:pPr>
      <w:r w:rsidRPr="002F0DC6">
        <w:rPr>
          <w:rFonts w:cs="Arial"/>
        </w:rPr>
        <w:t xml:space="preserve">The APG </w:t>
      </w:r>
      <w:r w:rsidR="002F0DC6" w:rsidRPr="002F0DC6">
        <w:rPr>
          <w:rFonts w:cs="Arial"/>
        </w:rPr>
        <w:t>argues that</w:t>
      </w:r>
      <w:r w:rsidRPr="002F0DC6">
        <w:rPr>
          <w:rFonts w:cs="Arial"/>
        </w:rPr>
        <w:t xml:space="preserve"> the UK Government has a duty of care to individuals and communities not just in Great Britain, but in Northern Ireland, as our communities are affected by the same addictive </w:t>
      </w:r>
      <w:r w:rsidR="002F0DC6" w:rsidRPr="002F0DC6">
        <w:rPr>
          <w:rFonts w:cs="Arial"/>
        </w:rPr>
        <w:t xml:space="preserve">remote </w:t>
      </w:r>
      <w:r w:rsidRPr="002F0DC6">
        <w:rPr>
          <w:rFonts w:cs="Arial"/>
        </w:rPr>
        <w:t>gambling products</w:t>
      </w:r>
      <w:r w:rsidR="002F0DC6" w:rsidRPr="002F0DC6">
        <w:rPr>
          <w:rFonts w:cs="Arial"/>
        </w:rPr>
        <w:t>, advertised freely to our population</w:t>
      </w:r>
      <w:r w:rsidRPr="002F0DC6">
        <w:rPr>
          <w:rFonts w:cs="Arial"/>
        </w:rPr>
        <w:t xml:space="preserve">. </w:t>
      </w:r>
      <w:r w:rsidR="001A4087">
        <w:rPr>
          <w:rFonts w:cs="Arial"/>
        </w:rPr>
        <w:t>As such, it</w:t>
      </w:r>
      <w:r w:rsidR="002F0DC6" w:rsidRPr="002F0DC6">
        <w:rPr>
          <w:rFonts w:cs="Arial"/>
        </w:rPr>
        <w:t xml:space="preserve"> urgently requests that </w:t>
      </w:r>
      <w:r w:rsidR="002F0DC6">
        <w:rPr>
          <w:rFonts w:cs="Arial"/>
        </w:rPr>
        <w:t xml:space="preserve">the Government direct </w:t>
      </w:r>
      <w:r w:rsidR="002F0DC6" w:rsidRPr="002F0DC6">
        <w:rPr>
          <w:rFonts w:cs="Arial"/>
        </w:rPr>
        <w:t xml:space="preserve">a percentage of the proposed levy on </w:t>
      </w:r>
      <w:r w:rsidR="002F0DC6">
        <w:rPr>
          <w:rFonts w:cs="Arial"/>
        </w:rPr>
        <w:t xml:space="preserve">remote </w:t>
      </w:r>
      <w:r w:rsidR="002F0DC6" w:rsidRPr="002F0DC6">
        <w:rPr>
          <w:rFonts w:cs="Arial"/>
        </w:rPr>
        <w:t xml:space="preserve">gambling operators be allocated for the provision </w:t>
      </w:r>
      <w:r w:rsidR="002F0DC6">
        <w:rPr>
          <w:rFonts w:cs="Arial"/>
        </w:rPr>
        <w:t xml:space="preserve">of </w:t>
      </w:r>
      <w:r w:rsidR="002F0DC6" w:rsidRPr="002F0DC6">
        <w:rPr>
          <w:rFonts w:cs="Arial"/>
        </w:rPr>
        <w:t xml:space="preserve">prevention and treatment </w:t>
      </w:r>
      <w:r w:rsidR="002F0DC6">
        <w:rPr>
          <w:rFonts w:cs="Arial"/>
        </w:rPr>
        <w:t xml:space="preserve">of gambling harms </w:t>
      </w:r>
      <w:r w:rsidR="002F0DC6" w:rsidRPr="002F0DC6">
        <w:rPr>
          <w:rFonts w:cs="Arial"/>
        </w:rPr>
        <w:t>in Northern Ireland.</w:t>
      </w:r>
    </w:p>
    <w:p w14:paraId="3AD5A252" w14:textId="77777777" w:rsidR="002F0DC6" w:rsidRDefault="002F0DC6">
      <w:pPr>
        <w:rPr>
          <w:rFonts w:cs="Arial"/>
        </w:rPr>
      </w:pPr>
      <w:r>
        <w:rPr>
          <w:rFonts w:cs="Arial"/>
        </w:rPr>
        <w:br w:type="page"/>
      </w:r>
    </w:p>
    <w:p w14:paraId="0278C8CC" w14:textId="77777777" w:rsidR="002F0DC6" w:rsidRPr="002F0DC6" w:rsidRDefault="002F0DC6" w:rsidP="002F0DC6">
      <w:pPr>
        <w:spacing w:before="240" w:line="240" w:lineRule="auto"/>
        <w:rPr>
          <w:rFonts w:cs="Arial"/>
        </w:rPr>
      </w:pPr>
    </w:p>
    <w:sectPr w:rsidR="002F0DC6" w:rsidRPr="002F0DC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077D" w14:textId="77777777" w:rsidR="008A681E" w:rsidRDefault="008A681E" w:rsidP="004F70D4">
      <w:pPr>
        <w:spacing w:after="0" w:line="240" w:lineRule="auto"/>
      </w:pPr>
      <w:r>
        <w:separator/>
      </w:r>
    </w:p>
  </w:endnote>
  <w:endnote w:type="continuationSeparator" w:id="0">
    <w:p w14:paraId="58D3BD3A" w14:textId="77777777" w:rsidR="008A681E" w:rsidRDefault="008A681E" w:rsidP="004F70D4">
      <w:pPr>
        <w:spacing w:after="0" w:line="240" w:lineRule="auto"/>
      </w:pPr>
      <w:r>
        <w:continuationSeparator/>
      </w:r>
    </w:p>
  </w:endnote>
  <w:endnote w:id="1">
    <w:p w14:paraId="2AE8F969" w14:textId="77777777" w:rsidR="00985F0D" w:rsidRDefault="00985F0D" w:rsidP="00985F0D">
      <w:pPr>
        <w:pStyle w:val="EndnoteText"/>
      </w:pPr>
      <w:r>
        <w:rPr>
          <w:rStyle w:val="EndnoteReference"/>
        </w:rPr>
        <w:endnoteRef/>
      </w:r>
      <w:r>
        <w:t xml:space="preserve"> </w:t>
      </w:r>
      <w:r w:rsidRPr="00985F0D">
        <w:t>Department for Communities' 2024 Northern Ireland Gambling Prevalence Survey</w:t>
      </w:r>
      <w:r>
        <w:t>.</w:t>
      </w:r>
    </w:p>
    <w:p w14:paraId="46B4F854" w14:textId="77777777" w:rsidR="00985F0D" w:rsidRDefault="00985F0D" w:rsidP="00985F0D">
      <w:pPr>
        <w:pStyle w:val="EndnoteText"/>
      </w:pPr>
      <w:hyperlink r:id="rId1" w:history="1">
        <w:r w:rsidRPr="00F312A3">
          <w:rPr>
            <w:rStyle w:val="Hyperlink"/>
          </w:rPr>
          <w:t>https://www.communities-ni.gov.uk/publications/prevalence-gambling-northern-ireland-2024</w:t>
        </w:r>
      </w:hyperlink>
      <w:r>
        <w:t xml:space="preserve"> </w:t>
      </w:r>
    </w:p>
  </w:endnote>
  <w:endnote w:id="2">
    <w:p w14:paraId="3253A78F" w14:textId="526F2E1E" w:rsidR="008036F9" w:rsidRDefault="00161D42" w:rsidP="008036F9">
      <w:pPr>
        <w:pStyle w:val="EndnoteText"/>
      </w:pPr>
      <w:r>
        <w:rPr>
          <w:rStyle w:val="EndnoteReference"/>
        </w:rPr>
        <w:endnoteRef/>
      </w:r>
      <w:r>
        <w:t xml:space="preserve"> </w:t>
      </w:r>
      <w:r w:rsidR="008036F9">
        <w:t xml:space="preserve">Department of Justice, Home Affairs &amp; Migration press releases, </w:t>
      </w:r>
      <w:r w:rsidR="008036F9" w:rsidRPr="008036F9">
        <w:rPr>
          <w:i/>
          <w:iCs/>
        </w:rPr>
        <w:t>Minister Browne welcomes passing of historic legislation to streamline, strengthen and modernise gambling regulation</w:t>
      </w:r>
      <w:r w:rsidR="008036F9">
        <w:t xml:space="preserve">, 16 October 2024 </w:t>
      </w:r>
    </w:p>
    <w:p w14:paraId="11552F17" w14:textId="2876095E" w:rsidR="00161D42" w:rsidRDefault="008036F9" w:rsidP="008036F9">
      <w:pPr>
        <w:pStyle w:val="EndnoteText"/>
      </w:pPr>
      <w:hyperlink r:id="rId2" w:history="1">
        <w:r w:rsidRPr="00F312A3">
          <w:rPr>
            <w:rStyle w:val="Hyperlink"/>
          </w:rPr>
          <w:t>https://www.gov.ie/en/department-of-justice-home-affairs-and-migration/press-releases/minister-browne-welcomes-passing-of-historic-legislation-to-streamline-strengthen-and-modernise-gambling-regulation/</w:t>
        </w:r>
      </w:hyperlink>
    </w:p>
  </w:endnote>
  <w:endnote w:id="3">
    <w:p w14:paraId="446322AE" w14:textId="152584BD" w:rsidR="008036F9" w:rsidRDefault="008036F9">
      <w:pPr>
        <w:pStyle w:val="EndnoteText"/>
      </w:pPr>
      <w:r>
        <w:rPr>
          <w:rStyle w:val="EndnoteReference"/>
        </w:rPr>
        <w:endnoteRef/>
      </w:r>
      <w:r>
        <w:t xml:space="preserve"> </w:t>
      </w:r>
      <w:r w:rsidRPr="009C4192">
        <w:t>Maynooth University and Ulster University, ‘Code Red: Young Pe</w:t>
      </w:r>
      <w:r>
        <w:t>ople and their Exposure to Gambling Marketing through Media and Sport on the island of Ireland’.</w:t>
      </w:r>
      <w:r w:rsidR="00416F4C">
        <w:t xml:space="preserve"> </w:t>
      </w:r>
      <w:hyperlink r:id="rId3" w:history="1">
        <w:r w:rsidR="00416F4C" w:rsidRPr="00F312A3">
          <w:rPr>
            <w:rStyle w:val="Hyperlink"/>
          </w:rPr>
          <w:t>https://mural.maynoothuniversity.ie/id/eprint/18905/1/Code%20Red%20Final%20Report%20October%202024.pdf</w:t>
        </w:r>
      </w:hyperlink>
    </w:p>
  </w:endnote>
  <w:endnote w:id="4">
    <w:p w14:paraId="1A3959AA" w14:textId="5B9BA987" w:rsidR="008036F9" w:rsidRPr="002F0DC6" w:rsidRDefault="008036F9" w:rsidP="002F0DC6">
      <w:pPr>
        <w:pStyle w:val="EndnoteText"/>
        <w:rPr>
          <w:rFonts w:asciiTheme="majorHAnsi" w:hAnsiTheme="majorHAnsi"/>
        </w:rPr>
      </w:pPr>
      <w:r>
        <w:rPr>
          <w:rStyle w:val="EndnoteReference"/>
        </w:rPr>
        <w:endnoteRef/>
      </w:r>
      <w:r>
        <w:t xml:space="preserve"> Survation</w:t>
      </w:r>
      <w:r w:rsidR="00BD400B">
        <w:t xml:space="preserve"> poll commissioned by CEGA</w:t>
      </w:r>
      <w:r>
        <w:t xml:space="preserve">, </w:t>
      </w:r>
      <w:r w:rsidR="00416F4C" w:rsidRPr="00416F4C">
        <w:t xml:space="preserve">online </w:t>
      </w:r>
      <w:r w:rsidR="00BD400B">
        <w:t xml:space="preserve">interview </w:t>
      </w:r>
      <w:r w:rsidR="00416F4C" w:rsidRPr="00416F4C">
        <w:t xml:space="preserve">poll of </w:t>
      </w:r>
      <w:r w:rsidR="00BD400B">
        <w:t>2</w:t>
      </w:r>
      <w:r w:rsidR="00416F4C" w:rsidRPr="00416F4C">
        <w:t>,0</w:t>
      </w:r>
      <w:r w:rsidR="00BD400B">
        <w:t>75</w:t>
      </w:r>
      <w:r w:rsidR="00416F4C" w:rsidRPr="00416F4C">
        <w:t xml:space="preserve"> adults aged 18+ in the UK</w:t>
      </w:r>
      <w:r w:rsidR="00416F4C">
        <w:t xml:space="preserve"> with f</w:t>
      </w:r>
      <w:r w:rsidR="00416F4C" w:rsidRPr="00416F4C">
        <w:t xml:space="preserve">ieldwork conducted between </w:t>
      </w:r>
      <w:r w:rsidR="00BD400B">
        <w:t xml:space="preserve">16 and 22 August </w:t>
      </w:r>
      <w:r w:rsidR="00416F4C" w:rsidRPr="00416F4C">
        <w:t>202</w:t>
      </w:r>
      <w:r w:rsidR="00BD400B">
        <w:t>4</w:t>
      </w:r>
      <w:r w:rsidR="00416F4C">
        <w:t xml:space="preserve"> </w:t>
      </w:r>
      <w:hyperlink r:id="rId4" w:history="1">
        <w:r w:rsidR="00BD400B" w:rsidRPr="00D77A0D">
          <w:rPr>
            <w:rStyle w:val="Hyperlink"/>
          </w:rPr>
          <w:t>https://cega.org.uk/time-for-action-as-poll-finds-over-half-the-public-want-gambling-ads-banned/</w:t>
        </w:r>
      </w:hyperlink>
      <w:r w:rsidR="00BD400B">
        <w:t xml:space="preserve"> </w:t>
      </w:r>
    </w:p>
  </w:endnote>
  <w:endnote w:id="5">
    <w:p w14:paraId="2FF57970" w14:textId="77777777" w:rsidR="00B134C2" w:rsidRPr="002F0DC6" w:rsidRDefault="00B134C2" w:rsidP="002F0DC6">
      <w:pPr>
        <w:pStyle w:val="EndnoteText"/>
        <w:rPr>
          <w:rFonts w:asciiTheme="majorHAnsi" w:hAnsiTheme="majorHAnsi" w:cs="Arial"/>
        </w:rPr>
      </w:pPr>
      <w:r w:rsidRPr="002F0DC6">
        <w:rPr>
          <w:rStyle w:val="EndnoteReference"/>
          <w:rFonts w:asciiTheme="majorHAnsi" w:hAnsiTheme="majorHAnsi" w:cs="Arial"/>
        </w:rPr>
        <w:endnoteRef/>
      </w:r>
      <w:r w:rsidRPr="002F0DC6">
        <w:rPr>
          <w:rFonts w:asciiTheme="majorHAnsi" w:hAnsiTheme="majorHAnsi" w:cs="Arial"/>
        </w:rPr>
        <w:t xml:space="preserve"> Department for Culture, Media and Sport (2023). </w:t>
      </w:r>
      <w:hyperlink r:id="rId5" w:history="1">
        <w:r w:rsidRPr="002F0DC6">
          <w:rPr>
            <w:rStyle w:val="Hyperlink"/>
            <w:rFonts w:asciiTheme="majorHAnsi" w:hAnsiTheme="majorHAnsi" w:cs="Arial"/>
          </w:rPr>
          <w:t>Consultation on the statutory levy on gambling operators</w:t>
        </w:r>
      </w:hyperlink>
      <w:r w:rsidRPr="002F0DC6">
        <w:rPr>
          <w:rFonts w:asciiTheme="majorHAnsi" w:hAnsiTheme="majorHAnsi" w:cs="Arial"/>
        </w:rPr>
        <w:t>.</w:t>
      </w:r>
    </w:p>
  </w:endnote>
  <w:endnote w:id="6">
    <w:p w14:paraId="77407C1A" w14:textId="77777777" w:rsidR="00B134C2" w:rsidRPr="002F0DC6" w:rsidRDefault="00B134C2" w:rsidP="002F0DC6">
      <w:pPr>
        <w:pStyle w:val="EndnoteText"/>
        <w:rPr>
          <w:rFonts w:asciiTheme="majorHAnsi" w:hAnsiTheme="majorHAnsi" w:cs="Arial"/>
        </w:rPr>
      </w:pPr>
      <w:r w:rsidRPr="002F0DC6">
        <w:rPr>
          <w:rStyle w:val="EndnoteReference"/>
          <w:rFonts w:asciiTheme="majorHAnsi" w:hAnsiTheme="majorHAnsi" w:cs="Arial"/>
        </w:rPr>
        <w:endnoteRef/>
      </w:r>
      <w:r w:rsidRPr="002F0DC6">
        <w:rPr>
          <w:rFonts w:asciiTheme="majorHAnsi" w:hAnsiTheme="majorHAnsi" w:cs="Arial"/>
        </w:rPr>
        <w:t xml:space="preserve"> Department for Culture, Media and Sport (2023). </w:t>
      </w:r>
      <w:hyperlink r:id="rId6" w:anchor="ministerial-foreword" w:history="1">
        <w:r w:rsidRPr="002F0DC6">
          <w:rPr>
            <w:rStyle w:val="Hyperlink"/>
            <w:rFonts w:asciiTheme="majorHAnsi" w:hAnsiTheme="majorHAnsi" w:cs="Arial"/>
          </w:rPr>
          <w:t>Consultation on the structure, distribution and governance of the statutory levy on gambling operators</w:t>
        </w:r>
      </w:hyperlink>
      <w:r w:rsidRPr="002F0DC6">
        <w:rPr>
          <w:rFonts w:asciiTheme="majorHAnsi" w:hAnsiTheme="majorHAnsi" w:cs="Arial"/>
        </w:rPr>
        <w:t>.</w:t>
      </w:r>
    </w:p>
  </w:endnote>
  <w:endnote w:id="7">
    <w:p w14:paraId="2F77CCE3" w14:textId="77777777" w:rsidR="00B134C2" w:rsidRPr="00D1557A" w:rsidRDefault="00B134C2" w:rsidP="002F0DC6">
      <w:pPr>
        <w:pStyle w:val="EndnoteText"/>
        <w:rPr>
          <w:rFonts w:ascii="Arial" w:hAnsi="Arial" w:cs="Arial"/>
        </w:rPr>
      </w:pPr>
      <w:r w:rsidRPr="002F0DC6">
        <w:rPr>
          <w:rStyle w:val="EndnoteReference"/>
          <w:rFonts w:asciiTheme="majorHAnsi" w:hAnsiTheme="majorHAnsi" w:cs="Arial"/>
        </w:rPr>
        <w:endnoteRef/>
      </w:r>
      <w:r w:rsidRPr="002F0DC6">
        <w:rPr>
          <w:rFonts w:asciiTheme="majorHAnsi" w:hAnsiTheme="majorHAnsi" w:cs="Arial"/>
        </w:rPr>
        <w:t xml:space="preserve"> </w:t>
      </w:r>
      <w:hyperlink r:id="rId7" w:history="1">
        <w:r w:rsidRPr="002F0DC6">
          <w:rPr>
            <w:rStyle w:val="Hyperlink"/>
            <w:rFonts w:asciiTheme="majorHAnsi" w:hAnsiTheme="majorHAnsi" w:cs="Arial"/>
          </w:rPr>
          <w:t>Gambling (Licensing and Advertising) Act 2014, Section 5</w:t>
        </w:r>
      </w:hyperlink>
      <w:r w:rsidRPr="002F0DC6">
        <w:rPr>
          <w:rFonts w:asciiTheme="majorHAnsi" w:hAnsiTheme="majorHAnsi"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1C8C3" w14:textId="77777777" w:rsidR="008A681E" w:rsidRDefault="008A681E" w:rsidP="004F70D4">
      <w:pPr>
        <w:spacing w:after="0" w:line="240" w:lineRule="auto"/>
      </w:pPr>
      <w:r>
        <w:separator/>
      </w:r>
    </w:p>
  </w:footnote>
  <w:footnote w:type="continuationSeparator" w:id="0">
    <w:p w14:paraId="70FFA459" w14:textId="77777777" w:rsidR="008A681E" w:rsidRDefault="008A681E" w:rsidP="004F7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6125" w14:textId="77777777" w:rsidR="004F70D4" w:rsidRDefault="004F70D4" w:rsidP="004F70D4">
    <w:pPr>
      <w:pBdr>
        <w:top w:val="nil"/>
        <w:left w:val="nil"/>
        <w:bottom w:val="nil"/>
        <w:right w:val="nil"/>
        <w:between w:val="nil"/>
      </w:pBdr>
      <w:tabs>
        <w:tab w:val="center" w:pos="4513"/>
        <w:tab w:val="right" w:pos="9026"/>
      </w:tabs>
      <w:spacing w:after="0" w:line="240" w:lineRule="auto"/>
      <w:jc w:val="right"/>
      <w:rPr>
        <w:color w:val="000000"/>
      </w:rPr>
    </w:pPr>
    <w:r>
      <w:rPr>
        <w:noProof/>
      </w:rPr>
      <w:drawing>
        <wp:inline distT="0" distB="0" distL="0" distR="0" wp14:anchorId="17E66D6B" wp14:editId="7E0051E6">
          <wp:extent cx="1467485" cy="502920"/>
          <wp:effectExtent l="0" t="0" r="0" b="0"/>
          <wp:docPr id="3" name="image1.png" descr="A screenshot of a video gam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screenshot of a video game&#10;&#10;Description automatically generated with medium confidence"/>
                  <pic:cNvPicPr preferRelativeResize="0"/>
                </pic:nvPicPr>
                <pic:blipFill>
                  <a:blip r:embed="rId1"/>
                  <a:srcRect/>
                  <a:stretch>
                    <a:fillRect/>
                  </a:stretch>
                </pic:blipFill>
                <pic:spPr>
                  <a:xfrm>
                    <a:off x="0" y="0"/>
                    <a:ext cx="1467485" cy="502920"/>
                  </a:xfrm>
                  <a:prstGeom prst="rect">
                    <a:avLst/>
                  </a:prstGeom>
                  <a:ln/>
                </pic:spPr>
              </pic:pic>
            </a:graphicData>
          </a:graphic>
        </wp:inline>
      </w:drawing>
    </w:r>
  </w:p>
  <w:p w14:paraId="2BD99492" w14:textId="77777777" w:rsidR="004F70D4" w:rsidRDefault="004F70D4" w:rsidP="004F70D4">
    <w:pPr>
      <w:pBdr>
        <w:top w:val="nil"/>
        <w:left w:val="nil"/>
        <w:bottom w:val="nil"/>
        <w:right w:val="nil"/>
        <w:between w:val="nil"/>
      </w:pBdr>
      <w:tabs>
        <w:tab w:val="center" w:pos="4513"/>
        <w:tab w:val="right" w:pos="9026"/>
      </w:tabs>
      <w:spacing w:after="0" w:line="240" w:lineRule="auto"/>
      <w:rPr>
        <w:color w:val="000000"/>
      </w:rPr>
    </w:pPr>
  </w:p>
  <w:p w14:paraId="43D184B5" w14:textId="1E2A3D66" w:rsidR="004F70D4" w:rsidRDefault="004F70D4" w:rsidP="004F70D4">
    <w:r>
      <w:rPr>
        <w:noProof/>
      </w:rPr>
      <w:drawing>
        <wp:anchor distT="0" distB="0" distL="0" distR="0" simplePos="0" relativeHeight="251659264" behindDoc="1" locked="0" layoutInCell="1" hidden="0" allowOverlap="1" wp14:anchorId="6D52CEF3" wp14:editId="1CDA3DC9">
          <wp:simplePos x="0" y="0"/>
          <wp:positionH relativeFrom="page">
            <wp:posOffset>914400</wp:posOffset>
          </wp:positionH>
          <wp:positionV relativeFrom="page">
            <wp:posOffset>1122680</wp:posOffset>
          </wp:positionV>
          <wp:extent cx="6119495" cy="45084"/>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119495" cy="45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7B4A"/>
    <w:multiLevelType w:val="hybridMultilevel"/>
    <w:tmpl w:val="56FC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D571D"/>
    <w:multiLevelType w:val="hybridMultilevel"/>
    <w:tmpl w:val="720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530401">
    <w:abstractNumId w:val="0"/>
  </w:num>
  <w:num w:numId="2" w16cid:durableId="40168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FF"/>
    <w:rsid w:val="0000311E"/>
    <w:rsid w:val="00153E43"/>
    <w:rsid w:val="00161D42"/>
    <w:rsid w:val="001A0EF1"/>
    <w:rsid w:val="001A4087"/>
    <w:rsid w:val="001C069F"/>
    <w:rsid w:val="001D505E"/>
    <w:rsid w:val="001F1722"/>
    <w:rsid w:val="001F18D7"/>
    <w:rsid w:val="001F5E15"/>
    <w:rsid w:val="002B1F80"/>
    <w:rsid w:val="002D58F0"/>
    <w:rsid w:val="002F0DC6"/>
    <w:rsid w:val="00315006"/>
    <w:rsid w:val="00360740"/>
    <w:rsid w:val="0037551F"/>
    <w:rsid w:val="003F29E8"/>
    <w:rsid w:val="00400063"/>
    <w:rsid w:val="00413D6C"/>
    <w:rsid w:val="00416F4C"/>
    <w:rsid w:val="004F70D4"/>
    <w:rsid w:val="00620F6D"/>
    <w:rsid w:val="0064603D"/>
    <w:rsid w:val="006C4873"/>
    <w:rsid w:val="0071112A"/>
    <w:rsid w:val="007327C2"/>
    <w:rsid w:val="0075625E"/>
    <w:rsid w:val="007739BD"/>
    <w:rsid w:val="008036F9"/>
    <w:rsid w:val="00862613"/>
    <w:rsid w:val="008A681E"/>
    <w:rsid w:val="008C74E0"/>
    <w:rsid w:val="008F702D"/>
    <w:rsid w:val="009520F9"/>
    <w:rsid w:val="009548B1"/>
    <w:rsid w:val="00972945"/>
    <w:rsid w:val="00985F0D"/>
    <w:rsid w:val="009C4192"/>
    <w:rsid w:val="009E6772"/>
    <w:rsid w:val="00A13794"/>
    <w:rsid w:val="00B06FFF"/>
    <w:rsid w:val="00B134C2"/>
    <w:rsid w:val="00B56EF8"/>
    <w:rsid w:val="00B82C26"/>
    <w:rsid w:val="00BC0E76"/>
    <w:rsid w:val="00BD400B"/>
    <w:rsid w:val="00CC11D0"/>
    <w:rsid w:val="00CD31C4"/>
    <w:rsid w:val="00CD75A6"/>
    <w:rsid w:val="00D2410B"/>
    <w:rsid w:val="00D64FD6"/>
    <w:rsid w:val="00DA5822"/>
    <w:rsid w:val="00DB7B0F"/>
    <w:rsid w:val="00E4604D"/>
    <w:rsid w:val="00E85CA5"/>
    <w:rsid w:val="00EA56AB"/>
    <w:rsid w:val="00F535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9948"/>
  <w15:chartTrackingRefBased/>
  <w15:docId w15:val="{ACBD6D6E-075E-4813-9273-1EEAD204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FFF"/>
    <w:rPr>
      <w:rFonts w:eastAsiaTheme="majorEastAsia" w:cstheme="majorBidi"/>
      <w:color w:val="272727" w:themeColor="text1" w:themeTint="D8"/>
    </w:rPr>
  </w:style>
  <w:style w:type="paragraph" w:styleId="Title">
    <w:name w:val="Title"/>
    <w:basedOn w:val="Normal"/>
    <w:next w:val="Normal"/>
    <w:link w:val="TitleChar"/>
    <w:uiPriority w:val="10"/>
    <w:qFormat/>
    <w:rsid w:val="00B06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FFF"/>
    <w:pPr>
      <w:spacing w:before="160"/>
      <w:jc w:val="center"/>
    </w:pPr>
    <w:rPr>
      <w:i/>
      <w:iCs/>
      <w:color w:val="404040" w:themeColor="text1" w:themeTint="BF"/>
    </w:rPr>
  </w:style>
  <w:style w:type="character" w:customStyle="1" w:styleId="QuoteChar">
    <w:name w:val="Quote Char"/>
    <w:basedOn w:val="DefaultParagraphFont"/>
    <w:link w:val="Quote"/>
    <w:uiPriority w:val="29"/>
    <w:rsid w:val="00B06FFF"/>
    <w:rPr>
      <w:i/>
      <w:iCs/>
      <w:color w:val="404040" w:themeColor="text1" w:themeTint="BF"/>
    </w:rPr>
  </w:style>
  <w:style w:type="paragraph" w:styleId="ListParagraph">
    <w:name w:val="List Paragraph"/>
    <w:basedOn w:val="Normal"/>
    <w:uiPriority w:val="34"/>
    <w:qFormat/>
    <w:rsid w:val="00B06FFF"/>
    <w:pPr>
      <w:ind w:left="720"/>
      <w:contextualSpacing/>
    </w:pPr>
  </w:style>
  <w:style w:type="character" w:styleId="IntenseEmphasis">
    <w:name w:val="Intense Emphasis"/>
    <w:basedOn w:val="DefaultParagraphFont"/>
    <w:uiPriority w:val="21"/>
    <w:qFormat/>
    <w:rsid w:val="00B06FFF"/>
    <w:rPr>
      <w:i/>
      <w:iCs/>
      <w:color w:val="0F4761" w:themeColor="accent1" w:themeShade="BF"/>
    </w:rPr>
  </w:style>
  <w:style w:type="paragraph" w:styleId="IntenseQuote">
    <w:name w:val="Intense Quote"/>
    <w:basedOn w:val="Normal"/>
    <w:next w:val="Normal"/>
    <w:link w:val="IntenseQuoteChar"/>
    <w:uiPriority w:val="30"/>
    <w:qFormat/>
    <w:rsid w:val="00B06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FFF"/>
    <w:rPr>
      <w:i/>
      <w:iCs/>
      <w:color w:val="0F4761" w:themeColor="accent1" w:themeShade="BF"/>
    </w:rPr>
  </w:style>
  <w:style w:type="character" w:styleId="IntenseReference">
    <w:name w:val="Intense Reference"/>
    <w:basedOn w:val="DefaultParagraphFont"/>
    <w:uiPriority w:val="32"/>
    <w:qFormat/>
    <w:rsid w:val="00B06FFF"/>
    <w:rPr>
      <w:b/>
      <w:bCs/>
      <w:smallCaps/>
      <w:color w:val="0F4761" w:themeColor="accent1" w:themeShade="BF"/>
      <w:spacing w:val="5"/>
    </w:rPr>
  </w:style>
  <w:style w:type="paragraph" w:styleId="Header">
    <w:name w:val="header"/>
    <w:basedOn w:val="Normal"/>
    <w:link w:val="HeaderChar"/>
    <w:uiPriority w:val="99"/>
    <w:unhideWhenUsed/>
    <w:rsid w:val="004F7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0D4"/>
  </w:style>
  <w:style w:type="paragraph" w:styleId="Footer">
    <w:name w:val="footer"/>
    <w:basedOn w:val="Normal"/>
    <w:link w:val="FooterChar"/>
    <w:uiPriority w:val="99"/>
    <w:unhideWhenUsed/>
    <w:rsid w:val="004F7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0D4"/>
  </w:style>
  <w:style w:type="character" w:styleId="Hyperlink">
    <w:name w:val="Hyperlink"/>
    <w:basedOn w:val="DefaultParagraphFont"/>
    <w:uiPriority w:val="99"/>
    <w:unhideWhenUsed/>
    <w:rsid w:val="009E6772"/>
    <w:rPr>
      <w:color w:val="467886" w:themeColor="hyperlink"/>
      <w:u w:val="single"/>
    </w:rPr>
  </w:style>
  <w:style w:type="paragraph" w:styleId="EndnoteText">
    <w:name w:val="endnote text"/>
    <w:basedOn w:val="Normal"/>
    <w:link w:val="EndnoteTextChar"/>
    <w:uiPriority w:val="99"/>
    <w:unhideWhenUsed/>
    <w:rsid w:val="009520F9"/>
    <w:pPr>
      <w:spacing w:after="0" w:line="240" w:lineRule="auto"/>
    </w:pPr>
    <w:rPr>
      <w:sz w:val="20"/>
      <w:szCs w:val="20"/>
    </w:rPr>
  </w:style>
  <w:style w:type="character" w:customStyle="1" w:styleId="EndnoteTextChar">
    <w:name w:val="Endnote Text Char"/>
    <w:basedOn w:val="DefaultParagraphFont"/>
    <w:link w:val="EndnoteText"/>
    <w:uiPriority w:val="99"/>
    <w:rsid w:val="009520F9"/>
    <w:rPr>
      <w:sz w:val="20"/>
      <w:szCs w:val="20"/>
    </w:rPr>
  </w:style>
  <w:style w:type="character" w:styleId="EndnoteReference">
    <w:name w:val="endnote reference"/>
    <w:basedOn w:val="DefaultParagraphFont"/>
    <w:uiPriority w:val="99"/>
    <w:semiHidden/>
    <w:unhideWhenUsed/>
    <w:rsid w:val="009520F9"/>
    <w:rPr>
      <w:vertAlign w:val="superscript"/>
    </w:rPr>
  </w:style>
  <w:style w:type="character" w:styleId="UnresolvedMention">
    <w:name w:val="Unresolved Mention"/>
    <w:basedOn w:val="DefaultParagraphFont"/>
    <w:uiPriority w:val="99"/>
    <w:semiHidden/>
    <w:unhideWhenUsed/>
    <w:rsid w:val="009520F9"/>
    <w:rPr>
      <w:color w:val="605E5C"/>
      <w:shd w:val="clear" w:color="auto" w:fill="E1DFDD"/>
    </w:rPr>
  </w:style>
  <w:style w:type="character" w:styleId="CommentReference">
    <w:name w:val="annotation reference"/>
    <w:basedOn w:val="DefaultParagraphFont"/>
    <w:uiPriority w:val="99"/>
    <w:semiHidden/>
    <w:unhideWhenUsed/>
    <w:rsid w:val="002D58F0"/>
    <w:rPr>
      <w:sz w:val="16"/>
      <w:szCs w:val="16"/>
    </w:rPr>
  </w:style>
  <w:style w:type="paragraph" w:styleId="CommentText">
    <w:name w:val="annotation text"/>
    <w:basedOn w:val="Normal"/>
    <w:link w:val="CommentTextChar"/>
    <w:uiPriority w:val="99"/>
    <w:unhideWhenUsed/>
    <w:rsid w:val="002D58F0"/>
    <w:pPr>
      <w:spacing w:line="240" w:lineRule="auto"/>
    </w:pPr>
    <w:rPr>
      <w:sz w:val="20"/>
      <w:szCs w:val="20"/>
    </w:rPr>
  </w:style>
  <w:style w:type="character" w:customStyle="1" w:styleId="CommentTextChar">
    <w:name w:val="Comment Text Char"/>
    <w:basedOn w:val="DefaultParagraphFont"/>
    <w:link w:val="CommentText"/>
    <w:uiPriority w:val="99"/>
    <w:rsid w:val="002D58F0"/>
    <w:rPr>
      <w:sz w:val="20"/>
      <w:szCs w:val="20"/>
    </w:rPr>
  </w:style>
  <w:style w:type="paragraph" w:styleId="CommentSubject">
    <w:name w:val="annotation subject"/>
    <w:basedOn w:val="CommentText"/>
    <w:next w:val="CommentText"/>
    <w:link w:val="CommentSubjectChar"/>
    <w:uiPriority w:val="99"/>
    <w:semiHidden/>
    <w:unhideWhenUsed/>
    <w:rsid w:val="002D58F0"/>
    <w:rPr>
      <w:b/>
      <w:bCs/>
    </w:rPr>
  </w:style>
  <w:style w:type="character" w:customStyle="1" w:styleId="CommentSubjectChar">
    <w:name w:val="Comment Subject Char"/>
    <w:basedOn w:val="CommentTextChar"/>
    <w:link w:val="CommentSubject"/>
    <w:uiPriority w:val="99"/>
    <w:semiHidden/>
    <w:rsid w:val="002D58F0"/>
    <w:rPr>
      <w:b/>
      <w:bCs/>
      <w:sz w:val="20"/>
      <w:szCs w:val="20"/>
    </w:rPr>
  </w:style>
  <w:style w:type="paragraph" w:styleId="Revision">
    <w:name w:val="Revision"/>
    <w:hidden/>
    <w:uiPriority w:val="99"/>
    <w:semiHidden/>
    <w:rsid w:val="00A13794"/>
    <w:pPr>
      <w:spacing w:after="0" w:line="240" w:lineRule="auto"/>
    </w:pPr>
  </w:style>
  <w:style w:type="character" w:styleId="FollowedHyperlink">
    <w:name w:val="FollowedHyperlink"/>
    <w:basedOn w:val="DefaultParagraphFont"/>
    <w:uiPriority w:val="99"/>
    <w:semiHidden/>
    <w:unhideWhenUsed/>
    <w:rsid w:val="00985F0D"/>
    <w:rPr>
      <w:color w:val="96607D" w:themeColor="followedHyperlink"/>
      <w:u w:val="single"/>
    </w:rPr>
  </w:style>
  <w:style w:type="paragraph" w:styleId="FootnoteText">
    <w:name w:val="footnote text"/>
    <w:basedOn w:val="Normal"/>
    <w:link w:val="FootnoteTextChar"/>
    <w:uiPriority w:val="99"/>
    <w:unhideWhenUsed/>
    <w:qFormat/>
    <w:rsid w:val="00161D42"/>
    <w:pPr>
      <w:spacing w:after="0" w:line="240" w:lineRule="auto"/>
    </w:pPr>
    <w:rPr>
      <w:sz w:val="20"/>
      <w:szCs w:val="20"/>
    </w:rPr>
  </w:style>
  <w:style w:type="character" w:customStyle="1" w:styleId="FootnoteTextChar">
    <w:name w:val="Footnote Text Char"/>
    <w:basedOn w:val="DefaultParagraphFont"/>
    <w:link w:val="FootnoteText"/>
    <w:uiPriority w:val="99"/>
    <w:rsid w:val="00161D42"/>
    <w:rPr>
      <w:sz w:val="20"/>
      <w:szCs w:val="20"/>
    </w:rPr>
  </w:style>
  <w:style w:type="character" w:styleId="FootnoteReference">
    <w:name w:val="footnote reference"/>
    <w:basedOn w:val="DefaultParagraphFont"/>
    <w:uiPriority w:val="99"/>
    <w:unhideWhenUsed/>
    <w:rsid w:val="00161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uk/nisi/1985/1204"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mural.maynoothuniversity.ie/id/eprint/18905/1/Code%20Red%20Final%20Report%20October%202024.pdf" TargetMode="External"/><Relationship Id="rId7" Type="http://schemas.openxmlformats.org/officeDocument/2006/relationships/hyperlink" Target="https://www.legislation.gov.uk/ukpga/2014/17/section/5/enacted" TargetMode="External"/><Relationship Id="rId2" Type="http://schemas.openxmlformats.org/officeDocument/2006/relationships/hyperlink" Target="https://www.gov.ie/en/department-of-justice-home-affairs-and-migration/press-releases/minister-browne-welcomes-passing-of-historic-legislation-to-streamline-strengthen-and-modernise-gambling-regulation/" TargetMode="External"/><Relationship Id="rId1" Type="http://schemas.openxmlformats.org/officeDocument/2006/relationships/hyperlink" Target="https://www.communities-ni.gov.uk/publications/prevalence-gambling-northern-ireland-2024" TargetMode="External"/><Relationship Id="rId6" Type="http://schemas.openxmlformats.org/officeDocument/2006/relationships/hyperlink" Target="https://www.gov.uk/government/consultations/consultation-on-the-statutory-levy-on-gambling-operators/consultation-on-the-structure-distribution-and-governance-of-the-statutory-levy-on-gambling-operators" TargetMode="External"/><Relationship Id="rId5" Type="http://schemas.openxmlformats.org/officeDocument/2006/relationships/hyperlink" Target="https://www.gov.uk/government/consultations/consultation-on-the-statutory-levy-on-gambling-operators" TargetMode="External"/><Relationship Id="rId4" Type="http://schemas.openxmlformats.org/officeDocument/2006/relationships/hyperlink" Target="https://cega.org.uk/time-for-action-as-poll-finds-over-half-the-public-want-gambling-ads-banne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3E16-F63C-4FC9-98E0-C068571F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McGrath</dc:creator>
  <cp:keywords/>
  <dc:description/>
  <cp:lastModifiedBy>Finn McGrath</cp:lastModifiedBy>
  <cp:revision>4</cp:revision>
  <dcterms:created xsi:type="dcterms:W3CDTF">2025-09-24T08:27:00Z</dcterms:created>
  <dcterms:modified xsi:type="dcterms:W3CDTF">2025-09-24T14:41:00Z</dcterms:modified>
</cp:coreProperties>
</file>